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4F" w:rsidRDefault="004C694F">
      <w:pPr>
        <w:pStyle w:val="ConsPlusTitlePage"/>
      </w:pPr>
      <w:bookmarkStart w:id="0" w:name="_GoBack"/>
      <w:bookmarkEnd w:id="0"/>
    </w:p>
    <w:p w:rsidR="004C694F" w:rsidRDefault="004C694F">
      <w:pPr>
        <w:pStyle w:val="ConsPlusNormal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C694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C694F" w:rsidRDefault="004C694F">
            <w:pPr>
              <w:pStyle w:val="ConsPlusNormal"/>
            </w:pPr>
            <w:r>
              <w:t>30 июня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C694F" w:rsidRDefault="004C694F">
            <w:pPr>
              <w:pStyle w:val="ConsPlusNormal"/>
              <w:jc w:val="right"/>
            </w:pPr>
            <w:r>
              <w:t>N 572-ОЗ</w:t>
            </w:r>
          </w:p>
        </w:tc>
      </w:tr>
    </w:tbl>
    <w:p w:rsidR="004C694F" w:rsidRDefault="004C69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Title"/>
        <w:jc w:val="center"/>
      </w:pPr>
      <w:r>
        <w:t>НОВОСИБИРСКАЯ ОБЛАСТЬ</w:t>
      </w:r>
    </w:p>
    <w:p w:rsidR="004C694F" w:rsidRDefault="004C694F">
      <w:pPr>
        <w:pStyle w:val="ConsPlusTitle"/>
        <w:jc w:val="center"/>
      </w:pPr>
    </w:p>
    <w:p w:rsidR="004C694F" w:rsidRDefault="004C694F">
      <w:pPr>
        <w:pStyle w:val="ConsPlusTitle"/>
        <w:jc w:val="center"/>
      </w:pPr>
      <w:r>
        <w:t>ЗАКОН</w:t>
      </w:r>
    </w:p>
    <w:p w:rsidR="004C694F" w:rsidRDefault="004C694F">
      <w:pPr>
        <w:pStyle w:val="ConsPlusTitle"/>
        <w:jc w:val="center"/>
      </w:pPr>
    </w:p>
    <w:p w:rsidR="004C694F" w:rsidRDefault="004C694F">
      <w:pPr>
        <w:pStyle w:val="ConsPlusTitle"/>
        <w:jc w:val="center"/>
      </w:pPr>
      <w:r>
        <w:t>О ВНЕСЕНИИ ИЗМЕНЕНИЙ В ЗАКОН НОВОСИБИРСКОЙ ОБЛАСТИ "О</w:t>
      </w:r>
    </w:p>
    <w:p w:rsidR="004C694F" w:rsidRDefault="004C694F">
      <w:pPr>
        <w:pStyle w:val="ConsPlusTitle"/>
        <w:jc w:val="center"/>
      </w:pPr>
      <w:proofErr w:type="gramStart"/>
      <w:r>
        <w:t>НАЛОГАХ</w:t>
      </w:r>
      <w:proofErr w:type="gramEnd"/>
      <w:r>
        <w:t xml:space="preserve"> И ОСОБЕННОСТЯХ НАЛОГООБЛОЖЕНИЯ ОТДЕЛЬНЫХ КАТЕГОРИЙ</w:t>
      </w:r>
    </w:p>
    <w:p w:rsidR="004C694F" w:rsidRDefault="004C694F">
      <w:pPr>
        <w:pStyle w:val="ConsPlusTitle"/>
        <w:jc w:val="center"/>
      </w:pPr>
      <w:r>
        <w:t>НАЛОГОПЛАТЕЛЬЩИКОВ В НОВОСИБИРСКОЙ ОБЛАСТИ"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jc w:val="right"/>
      </w:pPr>
      <w:proofErr w:type="gramStart"/>
      <w:r>
        <w:t>Принят</w:t>
      </w:r>
      <w:proofErr w:type="gramEnd"/>
    </w:p>
    <w:p w:rsidR="004C694F" w:rsidRDefault="004C694F">
      <w:pPr>
        <w:pStyle w:val="ConsPlusNormal"/>
        <w:jc w:val="right"/>
      </w:pPr>
      <w:r>
        <w:t>постановлением</w:t>
      </w:r>
    </w:p>
    <w:p w:rsidR="004C694F" w:rsidRDefault="004C694F">
      <w:pPr>
        <w:pStyle w:val="ConsPlusNormal"/>
        <w:jc w:val="right"/>
      </w:pPr>
      <w:r>
        <w:t>Законодательного Собрания Новосибирской области</w:t>
      </w:r>
    </w:p>
    <w:p w:rsidR="004C694F" w:rsidRDefault="004C694F">
      <w:pPr>
        <w:pStyle w:val="ConsPlusNormal"/>
        <w:jc w:val="right"/>
      </w:pPr>
      <w:r>
        <w:t>от 25.06.2015 N 572-ЗС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Статья 1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proofErr w:type="gramStart"/>
      <w:r>
        <w:t xml:space="preserve">Внести в </w:t>
      </w:r>
      <w:hyperlink r:id="rId5" w:history="1">
        <w:r>
          <w:rPr>
            <w:color w:val="0000FF"/>
          </w:rPr>
          <w:t>Закон</w:t>
        </w:r>
      </w:hyperlink>
      <w:r>
        <w:t xml:space="preserve"> Новосибирской области от 16 октября 2003 года N 142-ОЗ "О налогах и особенностях налогообложения отдельных категорий налогоплательщиков в Новосибирской области" (с изменениями, внесенными Законами Новосибирской области от 24 ноября 2003 года N 159-ОЗ, от 12 апреля 2004 года N 176-ОЗ, от 15 июня 2004 года N 195-ОЗ, от 29 сентября 2004 года N 219-ОЗ, от 25 ноября</w:t>
      </w:r>
      <w:proofErr w:type="gramEnd"/>
      <w:r>
        <w:t xml:space="preserve"> </w:t>
      </w:r>
      <w:proofErr w:type="gramStart"/>
      <w:r>
        <w:t>2004 года N 235-ОЗ, от 14 марта 2005 года N 277-ОЗ, от 14 мая 2005 года N 293-ОЗ, от 4 ноября 2005 года N 333-ОЗ, от 19 октября 2006 года N 31-ОЗ, от 7 июня 2007 года N 108-ОЗ, от 15 октября 2007 года N 147-ОЗ, от 2 ноября 2007 года N 160-ОЗ, от 2 ноября 2007 года N 161-ОЗ</w:t>
      </w:r>
      <w:proofErr w:type="gramEnd"/>
      <w:r>
        <w:t xml:space="preserve">, </w:t>
      </w:r>
      <w:proofErr w:type="gramStart"/>
      <w:r>
        <w:t>от 2 ноября 2007 года N 163-ОЗ, от 5 ноября 2008 года N 280-ОЗ, от 5 ноября 2008 года N 281-ОЗ, от 2 июля 2009 года N 370-ОЗ, от 26 ноября 2009 года N 423-ОЗ, от 30 ноября 2009 года N 403-ОЗ, от 13 ноября 2010 года N 2-ОЗ, от 13 ноября 2010 года N 3-ОЗ, от 7 октября 2011</w:t>
      </w:r>
      <w:proofErr w:type="gramEnd"/>
      <w:r>
        <w:t xml:space="preserve"> </w:t>
      </w:r>
      <w:proofErr w:type="gramStart"/>
      <w:r>
        <w:t>года N 122-ОЗ, от 3 мая 2012 года N 204-ОЗ, от 4 июля 2012 года N 240-ОЗ, от 29 ноября 2012 года N 277-ОЗ, от 29 ноября 2012 года N 281-ОЗ, от 5 марта 2013 года N 299-ОЗ, от 8 апреля 2013 года N 318-ОЗ, от 1 октября 2013 года N 363-ОЗ, от 28 ноября 2013 года N 388-ОЗ, от</w:t>
      </w:r>
      <w:proofErr w:type="gramEnd"/>
      <w:r>
        <w:t xml:space="preserve"> </w:t>
      </w:r>
      <w:proofErr w:type="gramStart"/>
      <w:r>
        <w:t>28 ноября 2013 года N 399-ОЗ, от 31 октября 2014 года N 475-ОЗ, от 24 ноября 2014 года N 482-ОЗ) следующие изменения:</w:t>
      </w:r>
      <w:proofErr w:type="gramEnd"/>
    </w:p>
    <w:p w:rsidR="004C694F" w:rsidRDefault="004C694F">
      <w:pPr>
        <w:pStyle w:val="ConsPlusNormal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статью 5.1</w:t>
        </w:r>
      </w:hyperlink>
      <w:r>
        <w:t xml:space="preserve"> изложить в следующей редакции: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"Статья 5.1. Общие положения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proofErr w:type="gramStart"/>
      <w:r>
        <w:t xml:space="preserve">Настоящей главой в соответствии с </w:t>
      </w:r>
      <w:hyperlink r:id="rId7" w:history="1">
        <w:r>
          <w:rPr>
            <w:color w:val="0000FF"/>
          </w:rPr>
          <w:t>главой 26.5</w:t>
        </w:r>
      </w:hyperlink>
      <w:r>
        <w:t xml:space="preserve"> Налогового кодекса Российской Федерации вводится в действие на территории Новосибирской области патентная система налогообложения, устанавливаются дополнительный перечень видов предпринимательской деятельности, относящихся к бытовым услугам в соответствии с Общероссийским </w:t>
      </w:r>
      <w:hyperlink r:id="rId8" w:history="1">
        <w:r>
          <w:rPr>
            <w:color w:val="0000FF"/>
          </w:rPr>
          <w:t>классификатором</w:t>
        </w:r>
      </w:hyperlink>
      <w:r>
        <w:t xml:space="preserve"> услуг населению, в отношении которых применяется патентная система налогообложения, размеры потенциально возможного к получению индивидуальным предпринимателем годового дохода в зависимости от средней численности наемных</w:t>
      </w:r>
      <w:proofErr w:type="gramEnd"/>
      <w:r>
        <w:t xml:space="preserve"> работников, количества транспортных средств, количества обособленных объектов (площадей) по видам предпринимательской деятельности, в отношении которых применяется патентная система налогообложения, а также виды предпринимательской деятельности, в отношении которых устанавливается налоговая ставка в размере 0 процентов</w:t>
      </w:r>
      <w:proofErr w:type="gramStart"/>
      <w:r>
        <w:t>.";</w:t>
      </w:r>
      <w:proofErr w:type="gramEnd"/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дополнить</w:t>
        </w:r>
      </w:hyperlink>
      <w:r>
        <w:t xml:space="preserve"> статьей 5.4 следующего содержания: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"Статья 5.4. Налоговая ставка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Налоговая ставка по налогу, взимаемому в связи с применением патентной системы налогообложения, устанавливается в размере 0 процентов для налогоплательщиков - индивидуальных предпринимателей, впервые зарегистрированных после 1 июля 2015 года и осуществляющих следующие виды предпринимательской деятельности:</w:t>
      </w:r>
    </w:p>
    <w:p w:rsidR="004C694F" w:rsidRDefault="004C694F">
      <w:pPr>
        <w:pStyle w:val="ConsPlusNormal"/>
        <w:ind w:firstLine="540"/>
        <w:jc w:val="both"/>
      </w:pPr>
      <w:r>
        <w:t>1) в производственной сфере:</w:t>
      </w:r>
    </w:p>
    <w:p w:rsidR="004C694F" w:rsidRDefault="004C694F">
      <w:pPr>
        <w:pStyle w:val="ConsPlusNormal"/>
        <w:ind w:firstLine="540"/>
        <w:jc w:val="both"/>
      </w:pPr>
      <w:r>
        <w:t>изготовление и ремонт металлической галантереи, ключей, номерных знаков, указателей улиц;</w:t>
      </w:r>
    </w:p>
    <w:p w:rsidR="004C694F" w:rsidRDefault="004C694F">
      <w:pPr>
        <w:pStyle w:val="ConsPlusNormal"/>
        <w:ind w:firstLine="540"/>
        <w:jc w:val="both"/>
      </w:pPr>
      <w:r>
        <w:t>услуги по остеклению балконов и лоджий, нарезке стекла и зеркал, художественной обработке стекла;</w:t>
      </w:r>
    </w:p>
    <w:p w:rsidR="004C694F" w:rsidRDefault="004C694F">
      <w:pPr>
        <w:pStyle w:val="ConsPlusNormal"/>
        <w:ind w:firstLine="540"/>
        <w:jc w:val="both"/>
      </w:pPr>
      <w:proofErr w:type="gramStart"/>
      <w:r>
        <w:t xml:space="preserve">прочие услуги производственного характера (услуги по переработке сельскохозяйственных продуктов и даров леса, в том числе по помолу зерна, обдирке круп, переработке </w:t>
      </w:r>
      <w:proofErr w:type="spellStart"/>
      <w:r>
        <w:t>маслосемян</w:t>
      </w:r>
      <w:proofErr w:type="spellEnd"/>
      <w:r>
        <w:t>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насаждений от вредителей и</w:t>
      </w:r>
      <w:proofErr w:type="gramEnd"/>
      <w:r>
        <w:t xml:space="preserve"> </w:t>
      </w:r>
      <w:proofErr w:type="gramStart"/>
      <w:r>
        <w:t>болезней; 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оптики; изготовление и печатание визитных карточек и пригласительных билетов на семейные торжества;</w:t>
      </w:r>
      <w:proofErr w:type="gramEnd"/>
      <w:r>
        <w:t xml:space="preserve"> переплетные, брошюровочные, окантовочные, картонажные работы; зарядка газовых баллончиков для сифонов, замена элементов питания в электронных часах и других приборах);</w:t>
      </w:r>
    </w:p>
    <w:p w:rsidR="004C694F" w:rsidRDefault="004C694F">
      <w:pPr>
        <w:pStyle w:val="ConsPlusNormal"/>
        <w:ind w:firstLine="540"/>
        <w:jc w:val="both"/>
      </w:pPr>
      <w:r>
        <w:t>изготовление изделий народных художественных промыслов;</w:t>
      </w:r>
    </w:p>
    <w:p w:rsidR="004C694F" w:rsidRDefault="004C694F">
      <w:pPr>
        <w:pStyle w:val="ConsPlusNormal"/>
        <w:ind w:firstLine="540"/>
        <w:jc w:val="both"/>
      </w:pPr>
      <w:r>
        <w:t>производство и реставрация ковров и ковровых изделий;</w:t>
      </w:r>
    </w:p>
    <w:p w:rsidR="004C694F" w:rsidRDefault="004C694F">
      <w:pPr>
        <w:pStyle w:val="ConsPlusNormal"/>
        <w:ind w:firstLine="540"/>
        <w:jc w:val="both"/>
      </w:pPr>
      <w:r>
        <w:t>2) в социальной сфере:</w:t>
      </w:r>
    </w:p>
    <w:p w:rsidR="004C694F" w:rsidRDefault="004C694F">
      <w:pPr>
        <w:pStyle w:val="ConsPlusNormal"/>
        <w:ind w:firstLine="540"/>
        <w:jc w:val="both"/>
      </w:pPr>
      <w:r>
        <w:t>услуги по присмотру и уходу за детьми и больными;</w:t>
      </w:r>
    </w:p>
    <w:p w:rsidR="004C694F" w:rsidRDefault="004C694F">
      <w:pPr>
        <w:pStyle w:val="ConsPlusNormal"/>
        <w:ind w:firstLine="540"/>
        <w:jc w:val="both"/>
      </w:pPr>
      <w:r>
        <w:t>проведение занятий по физической культуре и спорту;</w:t>
      </w:r>
    </w:p>
    <w:p w:rsidR="004C694F" w:rsidRDefault="004C694F">
      <w:pPr>
        <w:pStyle w:val="ConsPlusNormal"/>
        <w:ind w:firstLine="540"/>
        <w:jc w:val="both"/>
      </w:pPr>
      <w:r>
        <w:t>ветеринарные услуги;</w:t>
      </w:r>
    </w:p>
    <w:p w:rsidR="004C694F" w:rsidRDefault="004C694F">
      <w:pPr>
        <w:pStyle w:val="ConsPlusNormal"/>
        <w:ind w:firstLine="540"/>
        <w:jc w:val="both"/>
      </w:pPr>
      <w:r>
        <w:t>занятие медицинской деятельностью или фармацевтической деятельностью лицом, имеющим лицензию на указанные виды деятельности;</w:t>
      </w:r>
    </w:p>
    <w:p w:rsidR="004C694F" w:rsidRDefault="004C694F">
      <w:pPr>
        <w:pStyle w:val="ConsPlusNormal"/>
        <w:ind w:firstLine="540"/>
        <w:jc w:val="both"/>
      </w:pPr>
      <w:r>
        <w:t>ремонт слуховых аппаратов;</w:t>
      </w:r>
    </w:p>
    <w:p w:rsidR="004C694F" w:rsidRDefault="004C694F">
      <w:pPr>
        <w:pStyle w:val="ConsPlusNormal"/>
        <w:ind w:firstLine="540"/>
        <w:jc w:val="both"/>
      </w:pPr>
      <w:r>
        <w:t>услуги по обучению населения на курсах и по репетиторству</w:t>
      </w:r>
      <w:proofErr w:type="gramStart"/>
      <w:r>
        <w:t>.";</w:t>
      </w:r>
      <w:proofErr w:type="gramEnd"/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 xml:space="preserve">3) </w:t>
      </w:r>
      <w:hyperlink r:id="rId10" w:history="1">
        <w:r>
          <w:rPr>
            <w:color w:val="0000FF"/>
          </w:rPr>
          <w:t>дополнить</w:t>
        </w:r>
      </w:hyperlink>
      <w:r>
        <w:t xml:space="preserve"> главой 5.2 следующего содержания: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jc w:val="center"/>
      </w:pPr>
      <w:r>
        <w:t>"Глава 5.2. УПРОЩЕННАЯ СИСТЕМА НАЛОГООБЛОЖЕНИЯ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Статья 5.2.1. Налоговая ставка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Налоговая ставка по налогу, взимаемому в связи с применением упрощенной системы налогообложения на территории Новосибирской области, устанавливается в размере 0 процентов для налогоплательщиков - индивидуальных предпринимателей, впервые зарегистрированных после 1 июля 2015 года и осуществляющих виды предпринимательской деятельности, включенные в следующие классификационные группировки:</w:t>
      </w:r>
    </w:p>
    <w:p w:rsidR="004C694F" w:rsidRDefault="004C694F">
      <w:pPr>
        <w:sectPr w:rsidR="004C694F" w:rsidSect="001C37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694F" w:rsidRDefault="004C694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762"/>
      </w:tblGrid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center"/>
            </w:pPr>
            <w:r>
              <w:t xml:space="preserve">Виды предпринимательской деятельности в соответствии с Общероссийским </w:t>
            </w:r>
            <w:hyperlink r:id="rId11" w:history="1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видов экономической деятельности (ОКВЭД) ОК 029-2001 (КДЕС</w:t>
            </w:r>
            <w:proofErr w:type="gramStart"/>
            <w:r>
              <w:t xml:space="preserve"> Р</w:t>
            </w:r>
            <w:proofErr w:type="gramEnd"/>
            <w:r>
              <w:t>ед. 1)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center"/>
            </w:pPr>
            <w:r>
              <w:t xml:space="preserve">Виды предпринимательской деятельности в соответствии с Общероссийским </w:t>
            </w:r>
            <w:hyperlink r:id="rId12" w:history="1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видов экономической деятельности (ОКВЭД 2) ОК 029-2014 (КДЕС</w:t>
            </w:r>
            <w:proofErr w:type="gramStart"/>
            <w:r>
              <w:t xml:space="preserve"> Р</w:t>
            </w:r>
            <w:proofErr w:type="gramEnd"/>
            <w:r>
              <w:t>ед. 2)</w:t>
            </w:r>
          </w:p>
        </w:tc>
      </w:tr>
      <w:tr w:rsidR="004C694F">
        <w:tc>
          <w:tcPr>
            <w:tcW w:w="9581" w:type="dxa"/>
            <w:gridSpan w:val="2"/>
          </w:tcPr>
          <w:p w:rsidR="004C694F" w:rsidRDefault="004C694F">
            <w:pPr>
              <w:pStyle w:val="ConsPlusNormal"/>
              <w:jc w:val="center"/>
            </w:pPr>
            <w:r>
              <w:t>в производственной сфере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сельское хозяйство, охота и лесное хозяйство</w:t>
            </w:r>
          </w:p>
        </w:tc>
        <w:tc>
          <w:tcPr>
            <w:tcW w:w="4762" w:type="dxa"/>
            <w:vMerge w:val="restart"/>
          </w:tcPr>
          <w:p w:rsidR="004C694F" w:rsidRDefault="004C694F">
            <w:pPr>
              <w:pStyle w:val="ConsPlusNormal"/>
              <w:jc w:val="both"/>
            </w:pPr>
            <w:r>
              <w:t>сельское, лесное хозяйство, охота, рыболовство и рыбоводство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рыболовство, рыбоводство</w:t>
            </w:r>
          </w:p>
        </w:tc>
        <w:tc>
          <w:tcPr>
            <w:tcW w:w="4762" w:type="dxa"/>
            <w:vMerge/>
          </w:tcPr>
          <w:p w:rsidR="004C694F" w:rsidRDefault="004C694F"/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обрабатывающие производства, за исключением производства оружия и боеприпасов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обрабатывающие производства, за исключением производства оружия и боеприпасов</w:t>
            </w:r>
          </w:p>
        </w:tc>
      </w:tr>
      <w:tr w:rsidR="004C694F">
        <w:tc>
          <w:tcPr>
            <w:tcW w:w="9581" w:type="dxa"/>
            <w:gridSpan w:val="2"/>
          </w:tcPr>
          <w:p w:rsidR="004C694F" w:rsidRDefault="004C694F">
            <w:pPr>
              <w:pStyle w:val="ConsPlusNormal"/>
              <w:jc w:val="center"/>
            </w:pPr>
            <w:r>
              <w:t>в социальной сфере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образование для взрослых и прочие виды образования, не включенные в другие группировки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образование дополнительное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врачебная практика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общая врачебная практика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ветеринарная деятельность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 ветеринарная</w:t>
            </w:r>
          </w:p>
        </w:tc>
      </w:tr>
      <w:tr w:rsidR="004C694F">
        <w:tc>
          <w:tcPr>
            <w:tcW w:w="4819" w:type="dxa"/>
            <w:vMerge w:val="restart"/>
          </w:tcPr>
          <w:p w:rsidR="004C694F" w:rsidRDefault="004C694F">
            <w:pPr>
              <w:pStyle w:val="ConsPlusNormal"/>
              <w:jc w:val="both"/>
            </w:pPr>
            <w:r>
              <w:t>предоставление социальных услуг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 по уходу с обеспечением проживания</w:t>
            </w:r>
          </w:p>
        </w:tc>
      </w:tr>
      <w:tr w:rsidR="004C694F">
        <w:tc>
          <w:tcPr>
            <w:tcW w:w="4819" w:type="dxa"/>
            <w:vMerge/>
          </w:tcPr>
          <w:p w:rsidR="004C694F" w:rsidRDefault="004C694F"/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предоставление социальных услуг без обеспечения проживания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деятельность, связанная с производством, прокатом и показом фильмов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производство кинофильмов, видеофильмов и телевизионных программ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lastRenderedPageBreak/>
              <w:t>прочая зрелищно-развлекательная деятельность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 творческая, деятельность в области искусства и организации развлечений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прочая деятельность в области культуры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 библиотек, архивов, музеев и прочих объектов культуры</w:t>
            </w:r>
          </w:p>
        </w:tc>
      </w:tr>
      <w:tr w:rsidR="004C694F">
        <w:tc>
          <w:tcPr>
            <w:tcW w:w="4819" w:type="dxa"/>
            <w:vMerge w:val="restart"/>
          </w:tcPr>
          <w:p w:rsidR="004C694F" w:rsidRDefault="004C694F">
            <w:pPr>
              <w:pStyle w:val="ConsPlusNormal"/>
              <w:jc w:val="both"/>
            </w:pPr>
            <w:r>
              <w:t>прочая деятельность в области спорта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 в области спорта прочая</w:t>
            </w:r>
          </w:p>
        </w:tc>
      </w:tr>
      <w:tr w:rsidR="004C694F">
        <w:tc>
          <w:tcPr>
            <w:tcW w:w="4819" w:type="dxa"/>
            <w:vMerge/>
          </w:tcPr>
          <w:p w:rsidR="004C694F" w:rsidRDefault="004C694F"/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 xml:space="preserve">деятельность </w:t>
            </w:r>
            <w:proofErr w:type="gramStart"/>
            <w:r>
              <w:t>фитнес-центров</w:t>
            </w:r>
            <w:proofErr w:type="gramEnd"/>
          </w:p>
        </w:tc>
      </w:tr>
      <w:tr w:rsidR="004C694F">
        <w:tc>
          <w:tcPr>
            <w:tcW w:w="9581" w:type="dxa"/>
            <w:gridSpan w:val="2"/>
          </w:tcPr>
          <w:p w:rsidR="004C694F" w:rsidRDefault="004C694F">
            <w:pPr>
              <w:pStyle w:val="ConsPlusNormal"/>
              <w:jc w:val="center"/>
            </w:pPr>
            <w:r>
              <w:t>в научной сфере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деятельность, связанная с использованием вычислительной техники и информационных технологий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4C694F">
        <w:tc>
          <w:tcPr>
            <w:tcW w:w="4819" w:type="dxa"/>
          </w:tcPr>
          <w:p w:rsidR="004C694F" w:rsidRDefault="004C694F">
            <w:pPr>
              <w:pStyle w:val="ConsPlusNormal"/>
              <w:jc w:val="both"/>
            </w:pPr>
            <w:r>
              <w:t>научные исследования и разработки</w:t>
            </w:r>
          </w:p>
        </w:tc>
        <w:tc>
          <w:tcPr>
            <w:tcW w:w="4762" w:type="dxa"/>
          </w:tcPr>
          <w:p w:rsidR="004C694F" w:rsidRDefault="004C694F">
            <w:pPr>
              <w:pStyle w:val="ConsPlusNormal"/>
              <w:jc w:val="both"/>
            </w:pPr>
            <w:r>
              <w:t>научные исследования и разработки</w:t>
            </w:r>
          </w:p>
        </w:tc>
      </w:tr>
    </w:tbl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Статья 2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  <w:r>
        <w:t>Настоящий Закон вступает в силу со дня, следующего за днем его официального опубликования, и действует по 31 декабря 2020 года.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jc w:val="right"/>
      </w:pPr>
      <w:r>
        <w:t>Губернатор</w:t>
      </w:r>
    </w:p>
    <w:p w:rsidR="004C694F" w:rsidRDefault="004C694F">
      <w:pPr>
        <w:pStyle w:val="ConsPlusNormal"/>
        <w:jc w:val="right"/>
      </w:pPr>
      <w:r>
        <w:t>Новосибирской области</w:t>
      </w:r>
    </w:p>
    <w:p w:rsidR="004C694F" w:rsidRDefault="004C694F">
      <w:pPr>
        <w:pStyle w:val="ConsPlusNormal"/>
        <w:jc w:val="right"/>
      </w:pPr>
      <w:r>
        <w:t>В.Ф.ГОРОДЕЦКИЙ</w:t>
      </w:r>
    </w:p>
    <w:p w:rsidR="004C694F" w:rsidRDefault="004C694F">
      <w:pPr>
        <w:pStyle w:val="ConsPlusNormal"/>
      </w:pPr>
      <w:r>
        <w:t>г. Новосибирск</w:t>
      </w:r>
    </w:p>
    <w:p w:rsidR="004C694F" w:rsidRDefault="004C694F">
      <w:pPr>
        <w:pStyle w:val="ConsPlusNormal"/>
      </w:pPr>
      <w:r>
        <w:t>30 июня 2015 г.</w:t>
      </w:r>
    </w:p>
    <w:p w:rsidR="004C694F" w:rsidRDefault="004C694F">
      <w:pPr>
        <w:pStyle w:val="ConsPlusNormal"/>
      </w:pPr>
      <w:r>
        <w:t>N 572-ОЗ</w:t>
      </w: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ind w:firstLine="540"/>
        <w:jc w:val="both"/>
      </w:pPr>
    </w:p>
    <w:p w:rsidR="004C694F" w:rsidRDefault="004C69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53A8" w:rsidRDefault="00A053A8"/>
    <w:sectPr w:rsidR="00A053A8" w:rsidSect="0015409D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4F"/>
    <w:rsid w:val="004C694F"/>
    <w:rsid w:val="00A0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9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9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07AD1D1FFD2623703BD323D608C8ECE8332F466D0D900A4F297CDE1Ew8p9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07AD1D1FFD2623703BD323D608C8ECE83124456E01900A4F297CDE1E89F9E372861F88E88FwEp7J" TargetMode="External"/><Relationship Id="rId12" Type="http://schemas.openxmlformats.org/officeDocument/2006/relationships/hyperlink" Target="consultantplus://offline/ref=7F07AD1D1FFD2623703BD323D608C8ECE83024426A08900A4F297CDE1Ew8p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07AD1D1FFD2623703BD335D56496E5E03D794C6F0E9B5F1B7627834980F3B435C946CCAA8BE0C0wCp9J" TargetMode="External"/><Relationship Id="rId11" Type="http://schemas.openxmlformats.org/officeDocument/2006/relationships/hyperlink" Target="consultantplus://offline/ref=7F07AD1D1FFD2623703BD323D608C8ECE8312F496801900A4F297CDE1E89F9E372861F8EEE86E2C7wCpEJ" TargetMode="External"/><Relationship Id="rId5" Type="http://schemas.openxmlformats.org/officeDocument/2006/relationships/hyperlink" Target="consultantplus://offline/ref=7F07AD1D1FFD2623703BD335D56496E5E03D794C6F0E9B5F1B7627834980F3B4w3p5J" TargetMode="External"/><Relationship Id="rId10" Type="http://schemas.openxmlformats.org/officeDocument/2006/relationships/hyperlink" Target="consultantplus://offline/ref=7F07AD1D1FFD2623703BD335D56496E5E03D794C6F0E9B5F1B7627834980F3B4w3p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07AD1D1FFD2623703BD335D56496E5E03D794C6F0E9B5F1B7627834980F3B4w3p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7024</Characters>
  <Application>Microsoft Office Word</Application>
  <DocSecurity>0</DocSecurity>
  <Lines>58</Lines>
  <Paragraphs>16</Paragraphs>
  <ScaleCrop>false</ScaleCrop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Kudryavtseva_EA</dc:creator>
  <cp:lastModifiedBy>Kudryavtseva_EA</cp:lastModifiedBy>
  <cp:revision>1</cp:revision>
  <dcterms:created xsi:type="dcterms:W3CDTF">2015-11-27T09:41:00Z</dcterms:created>
  <dcterms:modified xsi:type="dcterms:W3CDTF">2015-11-27T09:42:00Z</dcterms:modified>
</cp:coreProperties>
</file>